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F107" w14:textId="0A31304C" w:rsidR="00213FA0" w:rsidRPr="00FC3CF2" w:rsidRDefault="00D07742" w:rsidP="005B278A">
      <w:pPr>
        <w:rPr>
          <w:rFonts w:ascii="Arial" w:hAnsi="Arial" w:cs="Arial"/>
          <w:b/>
          <w:bCs/>
          <w:sz w:val="36"/>
          <w:szCs w:val="36"/>
        </w:rPr>
      </w:pPr>
      <w:r w:rsidRPr="00FC3CF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AEDEEE" wp14:editId="5D5C0F8D">
            <wp:simplePos x="0" y="0"/>
            <wp:positionH relativeFrom="column">
              <wp:posOffset>7854950</wp:posOffset>
            </wp:positionH>
            <wp:positionV relativeFrom="paragraph">
              <wp:posOffset>-172085</wp:posOffset>
            </wp:positionV>
            <wp:extent cx="498004" cy="633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04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EB" w:rsidRPr="00FC3CF2">
        <w:rPr>
          <w:rFonts w:ascii="Arial" w:hAnsi="Arial" w:cs="Arial"/>
          <w:b/>
          <w:bCs/>
          <w:sz w:val="36"/>
          <w:szCs w:val="36"/>
        </w:rPr>
        <w:t>Pay Administration Checklist</w:t>
      </w:r>
    </w:p>
    <w:p w14:paraId="138FFB55" w14:textId="7C263E9E" w:rsidR="00DD7AEB" w:rsidRPr="00EF6C1D" w:rsidRDefault="00B23CB6" w:rsidP="005B278A">
      <w:pPr>
        <w:rPr>
          <w:rFonts w:ascii="Arial" w:hAnsi="Arial" w:cs="Arial"/>
          <w:color w:val="000000" w:themeColor="text1"/>
          <w:sz w:val="21"/>
          <w:szCs w:val="21"/>
        </w:rPr>
      </w:pPr>
      <w:bookmarkStart w:id="0" w:name="_Hlk31007160"/>
      <w:r w:rsidRPr="00EF6C1D">
        <w:rPr>
          <w:rFonts w:ascii="Arial" w:hAnsi="Arial" w:cs="Arial"/>
          <w:color w:val="000000" w:themeColor="text1"/>
          <w:sz w:val="21"/>
          <w:szCs w:val="21"/>
        </w:rPr>
        <w:t xml:space="preserve">Legal compliance is foundational to </w:t>
      </w:r>
      <w:r w:rsidR="00373B40" w:rsidRPr="00EF6C1D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EF6C1D">
        <w:rPr>
          <w:rFonts w:ascii="Arial" w:hAnsi="Arial" w:cs="Arial"/>
          <w:color w:val="000000" w:themeColor="text1"/>
          <w:sz w:val="21"/>
          <w:szCs w:val="21"/>
        </w:rPr>
        <w:t>fair treatment of staff.</w:t>
      </w:r>
      <w:r w:rsidR="00EE491C" w:rsidRPr="00EF6C1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EF6C1D">
        <w:rPr>
          <w:rFonts w:ascii="Arial" w:hAnsi="Arial" w:cs="Arial"/>
          <w:color w:val="000000" w:themeColor="text1"/>
          <w:sz w:val="21"/>
          <w:szCs w:val="21"/>
        </w:rPr>
        <w:t xml:space="preserve">This list </w:t>
      </w:r>
      <w:r w:rsidR="00607FED" w:rsidRPr="00EF6C1D">
        <w:rPr>
          <w:rFonts w:ascii="Arial" w:hAnsi="Arial" w:cs="Arial"/>
          <w:color w:val="000000" w:themeColor="text1"/>
          <w:sz w:val="21"/>
          <w:szCs w:val="21"/>
        </w:rPr>
        <w:t xml:space="preserve">covers </w:t>
      </w:r>
      <w:r w:rsidR="000E2685" w:rsidRPr="00EF6C1D">
        <w:rPr>
          <w:rFonts w:ascii="Arial" w:hAnsi="Arial" w:cs="Arial"/>
          <w:color w:val="000000" w:themeColor="text1"/>
          <w:sz w:val="21"/>
          <w:szCs w:val="21"/>
        </w:rPr>
        <w:t xml:space="preserve">some </w:t>
      </w:r>
      <w:r w:rsidRPr="00EF6C1D">
        <w:rPr>
          <w:rFonts w:ascii="Arial" w:hAnsi="Arial" w:cs="Arial"/>
          <w:color w:val="000000" w:themeColor="text1"/>
          <w:sz w:val="21"/>
          <w:szCs w:val="21"/>
        </w:rPr>
        <w:t>common legal requirements of pay administration</w:t>
      </w:r>
      <w:r w:rsidR="00A866A1" w:rsidRPr="00EF6C1D">
        <w:rPr>
          <w:rFonts w:ascii="Arial" w:hAnsi="Arial" w:cs="Arial"/>
          <w:color w:val="000000" w:themeColor="text1"/>
          <w:sz w:val="21"/>
          <w:szCs w:val="21"/>
        </w:rPr>
        <w:t xml:space="preserve">, including </w:t>
      </w:r>
      <w:r w:rsidRPr="00EF6C1D">
        <w:rPr>
          <w:rFonts w:ascii="Arial" w:hAnsi="Arial" w:cs="Arial"/>
          <w:color w:val="000000" w:themeColor="text1"/>
          <w:sz w:val="21"/>
          <w:szCs w:val="21"/>
        </w:rPr>
        <w:t>frequent sources</w:t>
      </w:r>
      <w:r w:rsidR="00EE491C" w:rsidRPr="00EF6C1D">
        <w:rPr>
          <w:rFonts w:ascii="Arial" w:hAnsi="Arial" w:cs="Arial"/>
          <w:color w:val="000000" w:themeColor="text1"/>
          <w:sz w:val="21"/>
          <w:szCs w:val="21"/>
        </w:rPr>
        <w:t xml:space="preserve"> of confusion</w:t>
      </w:r>
      <w:r w:rsidR="00607FED" w:rsidRPr="00EF6C1D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="00EE491C" w:rsidRPr="00EF6C1D">
        <w:rPr>
          <w:rFonts w:ascii="Arial" w:hAnsi="Arial" w:cs="Arial"/>
          <w:color w:val="000000" w:themeColor="text1"/>
          <w:sz w:val="21"/>
          <w:szCs w:val="21"/>
        </w:rPr>
        <w:t>mistakes.</w:t>
      </w:r>
      <w:r w:rsidR="000506C2" w:rsidRPr="00EF6C1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06F02" w:rsidRPr="00EF6C1D">
        <w:rPr>
          <w:rFonts w:ascii="Arial" w:hAnsi="Arial" w:cs="Arial"/>
          <w:color w:val="000000" w:themeColor="text1"/>
          <w:sz w:val="21"/>
          <w:szCs w:val="21"/>
        </w:rPr>
        <w:t xml:space="preserve">We encourage you to </w:t>
      </w:r>
      <w:r w:rsidR="0073306B" w:rsidRPr="00EF6C1D">
        <w:rPr>
          <w:rFonts w:ascii="Arial" w:hAnsi="Arial" w:cs="Arial"/>
          <w:color w:val="000000" w:themeColor="text1"/>
          <w:sz w:val="21"/>
          <w:szCs w:val="21"/>
        </w:rPr>
        <w:t>make use of</w:t>
      </w:r>
      <w:r w:rsidR="00C06F02" w:rsidRPr="00EF6C1D">
        <w:rPr>
          <w:rFonts w:ascii="Arial" w:hAnsi="Arial" w:cs="Arial"/>
          <w:color w:val="000000" w:themeColor="text1"/>
          <w:sz w:val="21"/>
          <w:szCs w:val="21"/>
        </w:rPr>
        <w:t xml:space="preserve"> this checklist annually and when</w:t>
      </w:r>
      <w:r w:rsidR="00A315AA" w:rsidRPr="00EF6C1D">
        <w:rPr>
          <w:rFonts w:ascii="Arial" w:hAnsi="Arial" w:cs="Arial"/>
          <w:color w:val="000000" w:themeColor="text1"/>
          <w:sz w:val="21"/>
          <w:szCs w:val="21"/>
        </w:rPr>
        <w:t>ever</w:t>
      </w:r>
      <w:r w:rsidR="00C06F02" w:rsidRPr="00EF6C1D">
        <w:rPr>
          <w:rFonts w:ascii="Arial" w:hAnsi="Arial" w:cs="Arial"/>
          <w:color w:val="000000" w:themeColor="text1"/>
          <w:sz w:val="21"/>
          <w:szCs w:val="21"/>
        </w:rPr>
        <w:t xml:space="preserve"> there is a change in responsible parties.</w:t>
      </w:r>
      <w:r w:rsidR="00134FB6" w:rsidRPr="00EF6C1D">
        <w:rPr>
          <w:rFonts w:ascii="Arial" w:hAnsi="Arial" w:cs="Arial"/>
          <w:color w:val="000000" w:themeColor="text1"/>
          <w:sz w:val="21"/>
          <w:szCs w:val="21"/>
        </w:rPr>
        <w:t xml:space="preserve"> Be sure to check for any laws that apply in your state and locality</w:t>
      </w:r>
      <w:r w:rsidR="000E2685" w:rsidRPr="00EF6C1D">
        <w:rPr>
          <w:rFonts w:ascii="Arial" w:hAnsi="Arial" w:cs="Arial"/>
          <w:color w:val="000000" w:themeColor="text1"/>
          <w:sz w:val="21"/>
          <w:szCs w:val="21"/>
        </w:rPr>
        <w:t>; this checklist is not meant to be comprehensive and cannot replace appropriate guidance from your own employment attorney.</w:t>
      </w:r>
    </w:p>
    <w:tbl>
      <w:tblPr>
        <w:tblStyle w:val="TableGrid"/>
        <w:tblW w:w="13281" w:type="dxa"/>
        <w:tblLayout w:type="fixed"/>
        <w:tblLook w:val="04A0" w:firstRow="1" w:lastRow="0" w:firstColumn="1" w:lastColumn="0" w:noHBand="0" w:noVBand="1"/>
      </w:tblPr>
      <w:tblGrid>
        <w:gridCol w:w="5935"/>
        <w:gridCol w:w="4274"/>
        <w:gridCol w:w="1213"/>
        <w:gridCol w:w="1859"/>
      </w:tblGrid>
      <w:tr w:rsidR="005B278A" w14:paraId="5DFDF518" w14:textId="77777777" w:rsidTr="003F35F3">
        <w:tc>
          <w:tcPr>
            <w:tcW w:w="5935" w:type="dxa"/>
            <w:vAlign w:val="bottom"/>
          </w:tcPr>
          <w:p w14:paraId="41689317" w14:textId="7E751BC7" w:rsidR="005B278A" w:rsidRPr="00DD7AEB" w:rsidRDefault="005B278A" w:rsidP="003F3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30441924"/>
            <w:bookmarkEnd w:id="0"/>
            <w:r w:rsidRPr="00DD7AEB">
              <w:rPr>
                <w:rFonts w:ascii="Arial" w:hAnsi="Arial" w:cs="Arial"/>
                <w:b/>
                <w:bCs/>
                <w:sz w:val="24"/>
                <w:szCs w:val="24"/>
              </w:rPr>
              <w:t>Legal Requirements for Pay Administration</w:t>
            </w:r>
          </w:p>
        </w:tc>
        <w:tc>
          <w:tcPr>
            <w:tcW w:w="4274" w:type="dxa"/>
            <w:vAlign w:val="bottom"/>
          </w:tcPr>
          <w:p w14:paraId="63DFAC00" w14:textId="142C32CF" w:rsidR="005B278A" w:rsidRPr="00DD7AEB" w:rsidRDefault="005B278A" w:rsidP="003F3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AEB">
              <w:rPr>
                <w:rFonts w:ascii="Arial" w:hAnsi="Arial" w:cs="Arial"/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1213" w:type="dxa"/>
            <w:vAlign w:val="bottom"/>
          </w:tcPr>
          <w:p w14:paraId="16D66341" w14:textId="0AAD1163" w:rsidR="005B278A" w:rsidRPr="00DD7AEB" w:rsidRDefault="005B278A" w:rsidP="003F3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Verified </w:t>
            </w:r>
            <w:r w:rsidRPr="003F35F3">
              <w:rPr>
                <w:rFonts w:ascii="Arial" w:hAnsi="Arial" w:cs="Arial"/>
                <w:sz w:val="24"/>
                <w:szCs w:val="24"/>
              </w:rPr>
              <w:t>(date)</w:t>
            </w:r>
          </w:p>
        </w:tc>
        <w:tc>
          <w:tcPr>
            <w:tcW w:w="1859" w:type="dxa"/>
            <w:vAlign w:val="bottom"/>
          </w:tcPr>
          <w:p w14:paraId="39AA73A1" w14:textId="3A197DBC" w:rsidR="005B278A" w:rsidRPr="003F35F3" w:rsidRDefault="005B278A" w:rsidP="003F3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Responsible party </w:t>
            </w:r>
            <w:r w:rsidRPr="003F35F3">
              <w:rPr>
                <w:rFonts w:ascii="Arial" w:hAnsi="Arial" w:cs="Arial"/>
                <w:sz w:val="24"/>
                <w:szCs w:val="24"/>
              </w:rPr>
              <w:t>(role)</w:t>
            </w:r>
          </w:p>
        </w:tc>
      </w:tr>
      <w:bookmarkEnd w:id="1"/>
      <w:tr w:rsidR="00A5017C" w14:paraId="1A25D6BB" w14:textId="77777777" w:rsidTr="003F35F3">
        <w:tc>
          <w:tcPr>
            <w:tcW w:w="5935" w:type="dxa"/>
            <w:vAlign w:val="bottom"/>
          </w:tcPr>
          <w:p w14:paraId="4C2D55C9" w14:textId="47574819" w:rsidR="00A5017C" w:rsidRPr="005F547E" w:rsidRDefault="00A5017C" w:rsidP="003F35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547E">
              <w:rPr>
                <w:rFonts w:ascii="Arial" w:hAnsi="Arial" w:cs="Arial"/>
                <w:b/>
                <w:bCs/>
                <w:color w:val="000000"/>
              </w:rPr>
              <w:t>General</w:t>
            </w:r>
          </w:p>
        </w:tc>
        <w:tc>
          <w:tcPr>
            <w:tcW w:w="4274" w:type="dxa"/>
            <w:vAlign w:val="bottom"/>
          </w:tcPr>
          <w:p w14:paraId="0240DAE9" w14:textId="77777777" w:rsidR="00A5017C" w:rsidRPr="00DD7AEB" w:rsidRDefault="00A5017C" w:rsidP="003F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14:paraId="0D1ADCC9" w14:textId="77777777" w:rsidR="00A5017C" w:rsidRPr="00DD7AEB" w:rsidRDefault="00A5017C" w:rsidP="003F3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bottom"/>
          </w:tcPr>
          <w:p w14:paraId="5A94D114" w14:textId="77777777" w:rsidR="00A5017C" w:rsidRPr="00DD7AEB" w:rsidRDefault="00A5017C" w:rsidP="003F3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8A" w14:paraId="0C7D99DA" w14:textId="77777777" w:rsidTr="009A4F22">
        <w:tc>
          <w:tcPr>
            <w:tcW w:w="5935" w:type="dxa"/>
            <w:vAlign w:val="bottom"/>
          </w:tcPr>
          <w:p w14:paraId="72B07B46" w14:textId="220CE0AC" w:rsidR="005B278A" w:rsidRPr="00DD7AEB" w:rsidRDefault="005B278A" w:rsidP="00FE389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EB">
              <w:rPr>
                <w:rFonts w:ascii="Arial" w:hAnsi="Arial" w:cs="Arial"/>
                <w:color w:val="000000"/>
                <w:sz w:val="20"/>
                <w:szCs w:val="20"/>
              </w:rPr>
              <w:t>Every worker is appropriately classified as an employee or as an independent contractor</w:t>
            </w:r>
            <w:r w:rsidR="00243219">
              <w:rPr>
                <w:rFonts w:ascii="Arial" w:hAnsi="Arial" w:cs="Arial"/>
                <w:color w:val="000000"/>
                <w:sz w:val="20"/>
                <w:szCs w:val="20"/>
              </w:rPr>
              <w:t xml:space="preserve">. We are </w:t>
            </w:r>
            <w:r w:rsidR="007A0412">
              <w:rPr>
                <w:rFonts w:ascii="Arial" w:hAnsi="Arial" w:cs="Arial"/>
                <w:color w:val="000000"/>
                <w:sz w:val="20"/>
                <w:szCs w:val="20"/>
              </w:rPr>
              <w:t>aware of any state laws that supersede the federal definitions</w:t>
            </w:r>
            <w:r w:rsidRPr="00DD7AEB">
              <w:rPr>
                <w:rFonts w:ascii="Arial" w:hAnsi="Arial" w:cs="Arial"/>
                <w:color w:val="000000"/>
                <w:sz w:val="20"/>
                <w:szCs w:val="20"/>
              </w:rPr>
              <w:t>. We understand that most workers in congregations are employees.</w:t>
            </w:r>
          </w:p>
        </w:tc>
        <w:tc>
          <w:tcPr>
            <w:tcW w:w="4274" w:type="dxa"/>
            <w:vAlign w:val="bottom"/>
          </w:tcPr>
          <w:p w14:paraId="7776194C" w14:textId="41CDCE9D" w:rsidR="005B278A" w:rsidRPr="00292481" w:rsidRDefault="00000000" w:rsidP="00FE3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292481" w:rsidRPr="00B03E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https://www.uua.org/leadership/library/employee-or-contractor</w:t>
              </w:r>
            </w:hyperlink>
            <w:r w:rsidR="002924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bottom"/>
          </w:tcPr>
          <w:p w14:paraId="08B575F8" w14:textId="2DF96F1E" w:rsidR="005B278A" w:rsidRPr="00DD7AEB" w:rsidRDefault="00292481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vAlign w:val="bottom"/>
          </w:tcPr>
          <w:p w14:paraId="347B5A3A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8A" w14:paraId="5988A0E0" w14:textId="77777777" w:rsidTr="009A4F22">
        <w:tc>
          <w:tcPr>
            <w:tcW w:w="5935" w:type="dxa"/>
            <w:vAlign w:val="bottom"/>
          </w:tcPr>
          <w:p w14:paraId="4983F8C4" w14:textId="499E4C9D" w:rsidR="005B278A" w:rsidRPr="00DD7AEB" w:rsidRDefault="005B278A" w:rsidP="00FE389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EB">
              <w:rPr>
                <w:rFonts w:ascii="Arial" w:hAnsi="Arial" w:cs="Arial"/>
                <w:color w:val="000000"/>
                <w:sz w:val="20"/>
                <w:szCs w:val="20"/>
              </w:rPr>
              <w:t>Every employee is properly classified as exempt or nonexempt under the federal Fair Labor Standards Act (and ministerial exception</w:t>
            </w:r>
            <w:r w:rsidRPr="00DD7AE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)</w:t>
            </w:r>
            <w:r w:rsidRPr="00DD7AEB">
              <w:rPr>
                <w:rFonts w:ascii="Arial" w:hAnsi="Arial" w:cs="Arial"/>
                <w:sz w:val="20"/>
                <w:szCs w:val="20"/>
                <w:highlight w:val="white"/>
              </w:rPr>
              <w:t xml:space="preserve">, with </w:t>
            </w:r>
            <w:r w:rsidR="00C114F0">
              <w:rPr>
                <w:rFonts w:ascii="Arial" w:hAnsi="Arial" w:cs="Arial"/>
                <w:sz w:val="20"/>
                <w:szCs w:val="20"/>
                <w:highlight w:val="white"/>
              </w:rPr>
              <w:t>applicable state law taken</w:t>
            </w:r>
            <w:r w:rsidRPr="00DD7AEB">
              <w:rPr>
                <w:rFonts w:ascii="Arial" w:hAnsi="Arial" w:cs="Arial"/>
                <w:sz w:val="20"/>
                <w:szCs w:val="20"/>
                <w:highlight w:val="white"/>
              </w:rPr>
              <w:t xml:space="preserve"> into account</w:t>
            </w:r>
            <w:r w:rsidRPr="00DD7AE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.</w:t>
            </w:r>
            <w:r w:rsidR="00C114F0">
              <w:rPr>
                <w:rFonts w:ascii="Arial" w:hAnsi="Arial" w:cs="Arial"/>
                <w:color w:val="000000"/>
                <w:sz w:val="20"/>
                <w:szCs w:val="20"/>
              </w:rPr>
              <w:t xml:space="preserve"> We understand that </w:t>
            </w:r>
            <w:r w:rsidR="00EE491C">
              <w:rPr>
                <w:rFonts w:ascii="Arial" w:hAnsi="Arial" w:cs="Arial"/>
                <w:color w:val="000000"/>
                <w:sz w:val="20"/>
                <w:szCs w:val="20"/>
              </w:rPr>
              <w:t xml:space="preserve">by default </w:t>
            </w:r>
            <w:r w:rsidR="00C114F0">
              <w:rPr>
                <w:rFonts w:ascii="Arial" w:hAnsi="Arial" w:cs="Arial"/>
                <w:color w:val="000000"/>
                <w:sz w:val="20"/>
                <w:szCs w:val="20"/>
              </w:rPr>
              <w:t>employees are nonexempt unless a case can be made for a particular exemption.</w:t>
            </w:r>
          </w:p>
        </w:tc>
        <w:tc>
          <w:tcPr>
            <w:tcW w:w="4274" w:type="dxa"/>
            <w:vAlign w:val="bottom"/>
          </w:tcPr>
          <w:p w14:paraId="66EB565C" w14:textId="11519B71" w:rsidR="005B278A" w:rsidRPr="00D6158D" w:rsidRDefault="00000000" w:rsidP="00FE389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D6158D" w:rsidRPr="00D615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https://www.uua.org/leadership/library/fair-labor</w:t>
              </w:r>
            </w:hyperlink>
            <w:r w:rsidR="00D6158D" w:rsidRPr="00D6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bottom"/>
          </w:tcPr>
          <w:p w14:paraId="6D5CFB7C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bottom"/>
          </w:tcPr>
          <w:p w14:paraId="2328ABC0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8A" w14:paraId="3A2129C1" w14:textId="77777777" w:rsidTr="009A4F22">
        <w:tc>
          <w:tcPr>
            <w:tcW w:w="5935" w:type="dxa"/>
            <w:vAlign w:val="bottom"/>
          </w:tcPr>
          <w:p w14:paraId="69909E8B" w14:textId="73CE67D6" w:rsidR="005B278A" w:rsidRPr="00DD7AEB" w:rsidRDefault="005B278A" w:rsidP="00FE389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EB">
              <w:rPr>
                <w:rFonts w:ascii="Arial" w:hAnsi="Arial" w:cs="Arial"/>
                <w:color w:val="000000"/>
                <w:sz w:val="20"/>
                <w:szCs w:val="20"/>
              </w:rPr>
              <w:t xml:space="preserve">Recordkeeping requirements are met for exempt and nonexempt employees, per the Fair Labor Standards </w:t>
            </w:r>
            <w:r w:rsidRPr="00DD7AEB">
              <w:rPr>
                <w:rFonts w:ascii="Arial" w:hAnsi="Arial" w:cs="Arial"/>
                <w:sz w:val="20"/>
                <w:szCs w:val="20"/>
              </w:rPr>
              <w:t>Act</w:t>
            </w:r>
            <w:r w:rsidRPr="00DD7AEB">
              <w:rPr>
                <w:rFonts w:ascii="Arial" w:hAnsi="Arial" w:cs="Arial"/>
                <w:sz w:val="20"/>
                <w:szCs w:val="20"/>
                <w:highlight w:val="white"/>
              </w:rPr>
              <w:t xml:space="preserve"> (and applicable state law)</w:t>
            </w:r>
            <w:r w:rsidRPr="00DD7AE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. This includes keeping records of daily and weekly hours worked by each nonexempt employee.</w:t>
            </w:r>
          </w:p>
        </w:tc>
        <w:tc>
          <w:tcPr>
            <w:tcW w:w="4274" w:type="dxa"/>
            <w:vAlign w:val="bottom"/>
          </w:tcPr>
          <w:p w14:paraId="6C1F2D49" w14:textId="33312840" w:rsidR="005B278A" w:rsidRPr="00DD7AEB" w:rsidRDefault="00000000" w:rsidP="00FE389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0C6321" w:rsidRPr="00D615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https://www.uua.org/leadership/library/fair-labor</w:t>
              </w:r>
            </w:hyperlink>
          </w:p>
        </w:tc>
        <w:tc>
          <w:tcPr>
            <w:tcW w:w="1213" w:type="dxa"/>
            <w:vAlign w:val="bottom"/>
          </w:tcPr>
          <w:p w14:paraId="03192DDA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bottom"/>
          </w:tcPr>
          <w:p w14:paraId="7800C00F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8A" w14:paraId="6DDF2086" w14:textId="77777777" w:rsidTr="009A4F22">
        <w:tc>
          <w:tcPr>
            <w:tcW w:w="5935" w:type="dxa"/>
            <w:vAlign w:val="bottom"/>
          </w:tcPr>
          <w:p w14:paraId="254BA0D7" w14:textId="5DC08B04" w:rsidR="005B278A" w:rsidRPr="00FE3897" w:rsidRDefault="005B278A" w:rsidP="00FE3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AEB">
              <w:rPr>
                <w:rFonts w:ascii="Arial" w:hAnsi="Arial" w:cs="Arial"/>
                <w:color w:val="000000"/>
                <w:sz w:val="20"/>
                <w:szCs w:val="20"/>
              </w:rPr>
              <w:t>Any nonexempt employee working more than 40 hours in a week (or as required by state law) receives overtime pay</w:t>
            </w:r>
            <w:r w:rsidR="001936C7">
              <w:rPr>
                <w:rFonts w:ascii="Arial" w:hAnsi="Arial" w:cs="Arial"/>
                <w:color w:val="000000"/>
                <w:sz w:val="20"/>
                <w:szCs w:val="20"/>
              </w:rPr>
              <w:t>, regardless of whether they are paid hourly or salaried.</w:t>
            </w:r>
          </w:p>
        </w:tc>
        <w:tc>
          <w:tcPr>
            <w:tcW w:w="4274" w:type="dxa"/>
            <w:vAlign w:val="bottom"/>
          </w:tcPr>
          <w:p w14:paraId="616615C5" w14:textId="1854D91A" w:rsidR="005B278A" w:rsidRPr="00DD7AEB" w:rsidRDefault="00000000" w:rsidP="00FE38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C6321" w:rsidRPr="00D615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https://www.uua.org/leadership/library/fair-labor</w:t>
              </w:r>
            </w:hyperlink>
          </w:p>
        </w:tc>
        <w:tc>
          <w:tcPr>
            <w:tcW w:w="1213" w:type="dxa"/>
            <w:vAlign w:val="bottom"/>
          </w:tcPr>
          <w:p w14:paraId="245E1337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bottom"/>
          </w:tcPr>
          <w:p w14:paraId="4813E6FE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278A" w14:paraId="707D7185" w14:textId="77777777" w:rsidTr="009A4F22">
        <w:tc>
          <w:tcPr>
            <w:tcW w:w="5935" w:type="dxa"/>
            <w:vAlign w:val="bottom"/>
          </w:tcPr>
          <w:p w14:paraId="23EFA539" w14:textId="3FAFFE6E" w:rsidR="005B278A" w:rsidRPr="00FE3897" w:rsidRDefault="005B278A" w:rsidP="00FE3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7AEB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Federal, state, and local minimum wage laws, and any applicable living wage ordinances, are known and met. </w:t>
            </w:r>
          </w:p>
        </w:tc>
        <w:tc>
          <w:tcPr>
            <w:tcW w:w="4274" w:type="dxa"/>
            <w:vAlign w:val="bottom"/>
          </w:tcPr>
          <w:p w14:paraId="3BA24EF4" w14:textId="05A8D9F3" w:rsidR="005B278A" w:rsidRPr="00DD7AEB" w:rsidRDefault="00000000" w:rsidP="00FE389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C36350" w:rsidRPr="00DD7A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https://www.dol.gov/whd/forstatelocalgovernments.htm</w:t>
              </w:r>
            </w:hyperlink>
          </w:p>
        </w:tc>
        <w:tc>
          <w:tcPr>
            <w:tcW w:w="1213" w:type="dxa"/>
            <w:vAlign w:val="bottom"/>
          </w:tcPr>
          <w:p w14:paraId="5CBBB8E9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bottom"/>
          </w:tcPr>
          <w:p w14:paraId="28B1AD6B" w14:textId="77777777" w:rsidR="005B278A" w:rsidRPr="00DD7AEB" w:rsidRDefault="005B278A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17C" w14:paraId="46D7B821" w14:textId="77777777" w:rsidTr="009A4F22">
        <w:tc>
          <w:tcPr>
            <w:tcW w:w="5935" w:type="dxa"/>
            <w:vAlign w:val="bottom"/>
          </w:tcPr>
          <w:p w14:paraId="0D55BBE0" w14:textId="3C530813" w:rsidR="00A5017C" w:rsidRPr="00DD7AEB" w:rsidRDefault="00A5017C" w:rsidP="00FE3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any </w:t>
            </w:r>
            <w:r w:rsidRPr="000400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salaried nonexempt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employee, actual recorded hours each week are checked </w:t>
            </w:r>
            <w:r w:rsidR="003307A1">
              <w:rPr>
                <w:rFonts w:ascii="Arial" w:hAnsi="Arial" w:cs="Arial"/>
                <w:color w:val="000000"/>
                <w:sz w:val="20"/>
                <w:szCs w:val="20"/>
              </w:rPr>
              <w:t xml:space="preserve">against salary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ensure that OT and minimum wage provisions are met. </w:t>
            </w:r>
          </w:p>
        </w:tc>
        <w:tc>
          <w:tcPr>
            <w:tcW w:w="4274" w:type="dxa"/>
            <w:vAlign w:val="bottom"/>
          </w:tcPr>
          <w:p w14:paraId="2D15258A" w14:textId="005271D2" w:rsidR="00A5017C" w:rsidRPr="00DD7AEB" w:rsidRDefault="00000000" w:rsidP="00FE38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8493C" w:rsidRPr="00D615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https://www.uua.org/leadership/library/fair-labor</w:t>
              </w:r>
            </w:hyperlink>
          </w:p>
        </w:tc>
        <w:tc>
          <w:tcPr>
            <w:tcW w:w="1213" w:type="dxa"/>
            <w:vAlign w:val="bottom"/>
          </w:tcPr>
          <w:p w14:paraId="1F4DFC92" w14:textId="77777777" w:rsidR="00A5017C" w:rsidRPr="00DD7AEB" w:rsidRDefault="00A5017C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bottom"/>
          </w:tcPr>
          <w:p w14:paraId="0DDF33ED" w14:textId="77777777" w:rsidR="00A5017C" w:rsidRPr="00DD7AEB" w:rsidRDefault="00A5017C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17C" w14:paraId="5C275B74" w14:textId="77777777" w:rsidTr="009A4F22">
        <w:trPr>
          <w:trHeight w:val="503"/>
        </w:trPr>
        <w:tc>
          <w:tcPr>
            <w:tcW w:w="5935" w:type="dxa"/>
            <w:vAlign w:val="bottom"/>
          </w:tcPr>
          <w:p w14:paraId="1778F7DA" w14:textId="5608FEEF" w:rsidR="00A5017C" w:rsidRPr="00DD7AEB" w:rsidRDefault="00A5017C" w:rsidP="0020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EB">
              <w:rPr>
                <w:rFonts w:ascii="Arial" w:hAnsi="Arial" w:cs="Arial"/>
                <w:color w:val="000000"/>
                <w:sz w:val="20"/>
                <w:szCs w:val="20"/>
              </w:rPr>
              <w:t>State requirements for pay frequency are known and met.</w:t>
            </w:r>
          </w:p>
        </w:tc>
        <w:tc>
          <w:tcPr>
            <w:tcW w:w="4274" w:type="dxa"/>
            <w:vAlign w:val="bottom"/>
          </w:tcPr>
          <w:p w14:paraId="16C9157A" w14:textId="49E88B3D" w:rsidR="00A5017C" w:rsidRPr="00DD7AEB" w:rsidRDefault="00000000" w:rsidP="0020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>
              <w:r w:rsidR="00A5017C" w:rsidRPr="00DD7AEB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https://www.dol.gov/whd/state/payday.htm</w:t>
              </w:r>
            </w:hyperlink>
          </w:p>
        </w:tc>
        <w:tc>
          <w:tcPr>
            <w:tcW w:w="1213" w:type="dxa"/>
            <w:vAlign w:val="bottom"/>
          </w:tcPr>
          <w:p w14:paraId="3B49B466" w14:textId="77777777" w:rsidR="00A5017C" w:rsidRPr="00DD7AEB" w:rsidRDefault="00A5017C" w:rsidP="0020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bottom"/>
          </w:tcPr>
          <w:p w14:paraId="159A870C" w14:textId="77777777" w:rsidR="00A5017C" w:rsidRPr="00DD7AEB" w:rsidRDefault="00A5017C" w:rsidP="0020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C7FE42" w14:textId="77777777" w:rsidR="00A5017C" w:rsidRDefault="00A5017C">
      <w:r>
        <w:br w:type="page"/>
      </w:r>
    </w:p>
    <w:tbl>
      <w:tblPr>
        <w:tblStyle w:val="TableGrid"/>
        <w:tblW w:w="13281" w:type="dxa"/>
        <w:tblLayout w:type="fixed"/>
        <w:tblLook w:val="04A0" w:firstRow="1" w:lastRow="0" w:firstColumn="1" w:lastColumn="0" w:noHBand="0" w:noVBand="1"/>
      </w:tblPr>
      <w:tblGrid>
        <w:gridCol w:w="5935"/>
        <w:gridCol w:w="4274"/>
        <w:gridCol w:w="1213"/>
        <w:gridCol w:w="1859"/>
      </w:tblGrid>
      <w:tr w:rsidR="009F7688" w:rsidRPr="00DD7AEB" w14:paraId="3EDD6C4C" w14:textId="77777777" w:rsidTr="003F35F3">
        <w:tc>
          <w:tcPr>
            <w:tcW w:w="5935" w:type="dxa"/>
            <w:vAlign w:val="bottom"/>
          </w:tcPr>
          <w:p w14:paraId="7C68B0FC" w14:textId="6BE8BFC3" w:rsidR="009F7688" w:rsidRPr="00DD7AEB" w:rsidRDefault="009F7688" w:rsidP="003F3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AE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Legal Requirements for Pay Administration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BD32C2">
              <w:rPr>
                <w:rFonts w:ascii="Arial" w:hAnsi="Arial" w:cs="Arial"/>
                <w:sz w:val="24"/>
                <w:szCs w:val="24"/>
              </w:rPr>
              <w:t>continued</w:t>
            </w:r>
          </w:p>
        </w:tc>
        <w:tc>
          <w:tcPr>
            <w:tcW w:w="4274" w:type="dxa"/>
            <w:vAlign w:val="bottom"/>
          </w:tcPr>
          <w:p w14:paraId="575AB53F" w14:textId="77777777" w:rsidR="009F7688" w:rsidRPr="00DD7AEB" w:rsidRDefault="009F7688" w:rsidP="003F3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AEB">
              <w:rPr>
                <w:rFonts w:ascii="Arial" w:hAnsi="Arial" w:cs="Arial"/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1213" w:type="dxa"/>
            <w:vAlign w:val="bottom"/>
          </w:tcPr>
          <w:p w14:paraId="4DE81BE9" w14:textId="77777777" w:rsidR="009F7688" w:rsidRPr="003F35F3" w:rsidRDefault="009F7688" w:rsidP="003F3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Verified </w:t>
            </w:r>
            <w:r w:rsidRPr="003F35F3">
              <w:rPr>
                <w:rFonts w:ascii="Arial" w:hAnsi="Arial" w:cs="Arial"/>
                <w:sz w:val="24"/>
                <w:szCs w:val="24"/>
              </w:rPr>
              <w:t>(date)</w:t>
            </w:r>
          </w:p>
        </w:tc>
        <w:tc>
          <w:tcPr>
            <w:tcW w:w="1859" w:type="dxa"/>
            <w:vAlign w:val="bottom"/>
          </w:tcPr>
          <w:p w14:paraId="5C83944E" w14:textId="77777777" w:rsidR="009F7688" w:rsidRPr="003F35F3" w:rsidRDefault="009F7688" w:rsidP="003F3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Responsible party </w:t>
            </w:r>
            <w:r w:rsidRPr="003F35F3">
              <w:rPr>
                <w:rFonts w:ascii="Arial" w:hAnsi="Arial" w:cs="Arial"/>
                <w:sz w:val="24"/>
                <w:szCs w:val="24"/>
              </w:rPr>
              <w:t>(role)</w:t>
            </w:r>
          </w:p>
        </w:tc>
      </w:tr>
      <w:tr w:rsidR="009F7688" w:rsidRPr="00DD7AEB" w14:paraId="2FD3760F" w14:textId="77777777" w:rsidTr="009F19AD">
        <w:tc>
          <w:tcPr>
            <w:tcW w:w="5935" w:type="dxa"/>
          </w:tcPr>
          <w:p w14:paraId="55D730CB" w14:textId="1052FDFB" w:rsidR="009F7688" w:rsidRPr="009F7688" w:rsidRDefault="009F7688" w:rsidP="009F7688">
            <w:pPr>
              <w:rPr>
                <w:rFonts w:ascii="Arial" w:hAnsi="Arial" w:cs="Arial"/>
                <w:b/>
                <w:bCs/>
              </w:rPr>
            </w:pPr>
            <w:r w:rsidRPr="009F7688">
              <w:rPr>
                <w:rFonts w:ascii="Arial" w:hAnsi="Arial" w:cs="Arial"/>
                <w:b/>
                <w:bCs/>
              </w:rPr>
              <w:t>Ministerial Compensation</w:t>
            </w:r>
          </w:p>
        </w:tc>
        <w:tc>
          <w:tcPr>
            <w:tcW w:w="4274" w:type="dxa"/>
          </w:tcPr>
          <w:p w14:paraId="3B77CCAA" w14:textId="77777777" w:rsidR="009F7688" w:rsidRPr="00DD7AEB" w:rsidRDefault="009F7688" w:rsidP="009F19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7DF36554" w14:textId="77777777" w:rsidR="009F7688" w:rsidRPr="00DD7AEB" w:rsidRDefault="009F7688" w:rsidP="009F19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D8343F8" w14:textId="77777777" w:rsidR="009F7688" w:rsidRPr="00DD7AEB" w:rsidRDefault="009F7688" w:rsidP="009F19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017C" w14:paraId="4587340B" w14:textId="77777777" w:rsidTr="009A4F22">
        <w:trPr>
          <w:trHeight w:val="1070"/>
        </w:trPr>
        <w:tc>
          <w:tcPr>
            <w:tcW w:w="5935" w:type="dxa"/>
            <w:vAlign w:val="bottom"/>
          </w:tcPr>
          <w:p w14:paraId="4219A6C2" w14:textId="60F6272C" w:rsidR="00A5017C" w:rsidRDefault="00611BC4" w:rsidP="00FE389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are familiar with the 3 special tax provisions for </w:t>
            </w:r>
            <w:r w:rsidR="00D032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(fellowshipped or ordained)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ministers:</w:t>
            </w:r>
          </w:p>
          <w:p w14:paraId="7C9805A0" w14:textId="77777777" w:rsidR="00611BC4" w:rsidRDefault="00546E6E" w:rsidP="00FE389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Dual tax status </w:t>
            </w:r>
          </w:p>
          <w:p w14:paraId="4BB0DA9A" w14:textId="77777777" w:rsidR="00546E6E" w:rsidRDefault="00546E6E" w:rsidP="00FE389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Housing allowance</w:t>
            </w:r>
          </w:p>
          <w:p w14:paraId="32DA0113" w14:textId="4D50924B" w:rsidR="00546E6E" w:rsidRPr="00546E6E" w:rsidRDefault="00546E6E" w:rsidP="00FE389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Withholdings optional</w:t>
            </w:r>
          </w:p>
        </w:tc>
        <w:tc>
          <w:tcPr>
            <w:tcW w:w="4274" w:type="dxa"/>
            <w:vAlign w:val="bottom"/>
          </w:tcPr>
          <w:p w14:paraId="7067FBBC" w14:textId="6A17B8BA" w:rsidR="00A5017C" w:rsidRPr="00546E6E" w:rsidRDefault="00000000" w:rsidP="00FE38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46E6E" w:rsidRPr="00262D6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https://www.uua.org/leadership/library/ministerial-compensation</w:t>
              </w:r>
            </w:hyperlink>
            <w:r w:rsidR="00546E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bottom"/>
          </w:tcPr>
          <w:p w14:paraId="60314039" w14:textId="77777777" w:rsidR="00A5017C" w:rsidRPr="00DD7AEB" w:rsidRDefault="00A5017C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5C79BE52" w14:textId="77777777" w:rsidR="00A5017C" w:rsidRPr="00DD7AEB" w:rsidRDefault="00A5017C" w:rsidP="00A501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6E6E" w14:paraId="0E81FF82" w14:textId="77777777" w:rsidTr="009A4F22">
        <w:trPr>
          <w:trHeight w:val="1088"/>
        </w:trPr>
        <w:tc>
          <w:tcPr>
            <w:tcW w:w="5935" w:type="dxa"/>
            <w:vAlign w:val="bottom"/>
          </w:tcPr>
          <w:p w14:paraId="72DB6938" w14:textId="5C04E420" w:rsidR="00546E6E" w:rsidRDefault="005F547E" w:rsidP="00FE389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54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Dual Tax Status: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266C">
              <w:rPr>
                <w:rFonts w:ascii="Arial" w:hAnsi="Arial" w:cs="Arial"/>
                <w:color w:val="000000" w:themeColor="text1"/>
                <w:sz w:val="20"/>
                <w:szCs w:val="20"/>
              </w:rPr>
              <w:t>We understand that our minister</w:t>
            </w:r>
            <w:r w:rsidR="00D032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</w:t>
            </w:r>
            <w:r w:rsidR="0060266C">
              <w:rPr>
                <w:rFonts w:ascii="Arial" w:hAnsi="Arial" w:cs="Arial"/>
                <w:color w:val="000000" w:themeColor="text1"/>
                <w:sz w:val="20"/>
                <w:szCs w:val="20"/>
              </w:rPr>
              <w:t>an employee for nearly all purposes, but self-employed with respect to Social Security/Medicare tax.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Further, we are aware that the congregation is legally prohibited from withholding or remitting Social Security/Medicare taxes for the minister.</w:t>
            </w:r>
          </w:p>
        </w:tc>
        <w:tc>
          <w:tcPr>
            <w:tcW w:w="4274" w:type="dxa"/>
            <w:vAlign w:val="bottom"/>
          </w:tcPr>
          <w:p w14:paraId="666083C6" w14:textId="6D7D53B3" w:rsidR="00546E6E" w:rsidRPr="009F7688" w:rsidRDefault="00000000" w:rsidP="00FE38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F7688" w:rsidRPr="00262D6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https://www.uua.org/sites/live-new.uua.org/files/clergy_tax_status_0815.pdf</w:t>
              </w:r>
            </w:hyperlink>
            <w:r w:rsidR="009F7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bottom"/>
          </w:tcPr>
          <w:p w14:paraId="1FAC3BA4" w14:textId="77777777" w:rsidR="00546E6E" w:rsidRPr="00DD7AEB" w:rsidRDefault="00546E6E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2D78CDF5" w14:textId="77777777" w:rsidR="00546E6E" w:rsidRPr="00DD7AEB" w:rsidRDefault="00546E6E" w:rsidP="00A501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547E" w14:paraId="3F08E2F0" w14:textId="77777777" w:rsidTr="009A4F22">
        <w:trPr>
          <w:trHeight w:val="1088"/>
        </w:trPr>
        <w:tc>
          <w:tcPr>
            <w:tcW w:w="5935" w:type="dxa"/>
            <w:vAlign w:val="bottom"/>
          </w:tcPr>
          <w:p w14:paraId="498EC42F" w14:textId="4059B063" w:rsidR="005F547E" w:rsidRPr="00C1757D" w:rsidRDefault="005F547E" w:rsidP="00FE389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Housing Allowance: </w:t>
            </w:r>
            <w:r w:rsidR="004720F0">
              <w:rPr>
                <w:rFonts w:ascii="Arial" w:hAnsi="Arial" w:cs="Arial"/>
                <w:color w:val="000000" w:themeColor="text1"/>
                <w:sz w:val="20"/>
                <w:szCs w:val="20"/>
              </w:rPr>
              <w:t>If the minister chooses, o</w:t>
            </w:r>
            <w:r w:rsidR="00580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 governing board designates a housing allowance for our minister in advance (by calendar year or program year), based on the minister's estimate of how much </w:t>
            </w:r>
            <w:r w:rsidR="004720F0">
              <w:rPr>
                <w:rFonts w:ascii="Arial" w:hAnsi="Arial" w:cs="Arial"/>
                <w:color w:val="000000" w:themeColor="text1"/>
                <w:sz w:val="20"/>
                <w:szCs w:val="20"/>
              </w:rPr>
              <w:t>they can claim</w:t>
            </w:r>
            <w:r w:rsidR="005803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74" w:type="dxa"/>
            <w:vAlign w:val="bottom"/>
          </w:tcPr>
          <w:p w14:paraId="050922CF" w14:textId="44364E74" w:rsidR="005F547E" w:rsidRPr="00D032A3" w:rsidRDefault="00000000" w:rsidP="00FE38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032A3" w:rsidRPr="00262D6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https://www.uua.org/leadership/library/housing-allowance</w:t>
              </w:r>
            </w:hyperlink>
          </w:p>
        </w:tc>
        <w:tc>
          <w:tcPr>
            <w:tcW w:w="1213" w:type="dxa"/>
            <w:vAlign w:val="bottom"/>
          </w:tcPr>
          <w:p w14:paraId="4A89099C" w14:textId="77777777" w:rsidR="005F547E" w:rsidRPr="00DD7AEB" w:rsidRDefault="005F547E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0642782C" w14:textId="77777777" w:rsidR="005F547E" w:rsidRPr="00DD7AEB" w:rsidRDefault="005F547E" w:rsidP="00A501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03C6" w14:paraId="0FD4DCB5" w14:textId="77777777" w:rsidTr="009A4F22">
        <w:trPr>
          <w:trHeight w:val="1088"/>
        </w:trPr>
        <w:tc>
          <w:tcPr>
            <w:tcW w:w="5935" w:type="dxa"/>
            <w:vAlign w:val="bottom"/>
          </w:tcPr>
          <w:p w14:paraId="6291D704" w14:textId="107A847B" w:rsidR="005803C6" w:rsidRPr="005803C6" w:rsidRDefault="005803C6" w:rsidP="00FE389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Withholdings Optional: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allow our minister to choose whether or not to have </w:t>
            </w:r>
            <w:r w:rsidR="008B188A">
              <w:rPr>
                <w:rFonts w:ascii="Arial" w:hAnsi="Arial" w:cs="Arial"/>
                <w:color w:val="000000" w:themeColor="text1"/>
                <w:sz w:val="20"/>
                <w:szCs w:val="20"/>
              </w:rPr>
              <w:t>federal/state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income taxes withheld. (And we understand that they may choose to "over-withhold" in order to cover their anticipated SECA payment.)</w:t>
            </w:r>
          </w:p>
        </w:tc>
        <w:tc>
          <w:tcPr>
            <w:tcW w:w="4274" w:type="dxa"/>
            <w:vAlign w:val="bottom"/>
          </w:tcPr>
          <w:p w14:paraId="0FF294D0" w14:textId="4948296E" w:rsidR="005803C6" w:rsidRDefault="00000000" w:rsidP="00FE38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35754" w:rsidRPr="00262D6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https://www.uua.org/leadership/library/ministerial-compensation</w:t>
              </w:r>
            </w:hyperlink>
          </w:p>
        </w:tc>
        <w:tc>
          <w:tcPr>
            <w:tcW w:w="1213" w:type="dxa"/>
            <w:vAlign w:val="bottom"/>
          </w:tcPr>
          <w:p w14:paraId="6843B9AA" w14:textId="77777777" w:rsidR="005803C6" w:rsidRPr="00DD7AEB" w:rsidRDefault="005803C6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0936A140" w14:textId="77777777" w:rsidR="005803C6" w:rsidRPr="00DD7AEB" w:rsidRDefault="005803C6" w:rsidP="00A501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685" w14:paraId="4DC1A718" w14:textId="77777777" w:rsidTr="000E2685">
        <w:trPr>
          <w:trHeight w:val="386"/>
        </w:trPr>
        <w:tc>
          <w:tcPr>
            <w:tcW w:w="5935" w:type="dxa"/>
            <w:vAlign w:val="bottom"/>
          </w:tcPr>
          <w:p w14:paraId="27B4EC71" w14:textId="4A87E64A" w:rsidR="000E2685" w:rsidRDefault="000E2685" w:rsidP="00FE3897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3A4A">
              <w:rPr>
                <w:rFonts w:ascii="Arial" w:hAnsi="Arial" w:cs="Arial"/>
                <w:b/>
                <w:bCs/>
              </w:rPr>
              <w:t>Benefits and Deductions from Pay</w:t>
            </w:r>
          </w:p>
        </w:tc>
        <w:tc>
          <w:tcPr>
            <w:tcW w:w="4274" w:type="dxa"/>
            <w:vAlign w:val="bottom"/>
          </w:tcPr>
          <w:p w14:paraId="62DF8603" w14:textId="77777777" w:rsidR="000E2685" w:rsidRDefault="000E2685" w:rsidP="00FE3897">
            <w:pPr>
              <w:spacing w:before="120"/>
            </w:pPr>
          </w:p>
        </w:tc>
        <w:tc>
          <w:tcPr>
            <w:tcW w:w="1213" w:type="dxa"/>
            <w:vAlign w:val="bottom"/>
          </w:tcPr>
          <w:p w14:paraId="34250E90" w14:textId="77777777" w:rsidR="000E2685" w:rsidRPr="00DD7AEB" w:rsidRDefault="000E2685" w:rsidP="009A4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0CAC6C41" w14:textId="77777777" w:rsidR="000E2685" w:rsidRPr="00DD7AEB" w:rsidRDefault="000E2685" w:rsidP="00A501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685" w14:paraId="60F7144B" w14:textId="77777777" w:rsidTr="000E2685">
        <w:trPr>
          <w:trHeight w:val="386"/>
        </w:trPr>
        <w:tc>
          <w:tcPr>
            <w:tcW w:w="5935" w:type="dxa"/>
            <w:vAlign w:val="bottom"/>
          </w:tcPr>
          <w:p w14:paraId="64BEFFDD" w14:textId="295D0BF9" w:rsidR="000E2685" w:rsidRPr="00C43A4A" w:rsidRDefault="000E2685" w:rsidP="000E268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43A4A">
              <w:rPr>
                <w:rFonts w:ascii="Arial" w:hAnsi="Arial" w:cs="Arial"/>
                <w:sz w:val="20"/>
                <w:szCs w:val="20"/>
              </w:rPr>
              <w:t xml:space="preserve">We have a copy of each benefits enrollment form in the Personnel File (signed and dated by the employee) indicating that the employee is enrolling in or has declined participation in </w:t>
            </w:r>
            <w:r w:rsidR="002F1EC4">
              <w:rPr>
                <w:rFonts w:ascii="Arial" w:hAnsi="Arial" w:cs="Arial"/>
                <w:sz w:val="20"/>
                <w:szCs w:val="20"/>
              </w:rPr>
              <w:t>benefits we offer</w:t>
            </w:r>
            <w:r w:rsidRPr="00C43A4A">
              <w:rPr>
                <w:rFonts w:ascii="Arial" w:hAnsi="Arial" w:cs="Arial"/>
                <w:sz w:val="20"/>
                <w:szCs w:val="20"/>
              </w:rPr>
              <w:t>. Enrollment elections corre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43A4A">
              <w:rPr>
                <w:rFonts w:ascii="Arial" w:hAnsi="Arial" w:cs="Arial"/>
                <w:sz w:val="20"/>
                <w:szCs w:val="20"/>
              </w:rPr>
              <w:t>pond to benefit deductions from pay.</w:t>
            </w:r>
          </w:p>
        </w:tc>
        <w:tc>
          <w:tcPr>
            <w:tcW w:w="4274" w:type="dxa"/>
            <w:vAlign w:val="bottom"/>
          </w:tcPr>
          <w:p w14:paraId="0E6AAD43" w14:textId="77777777" w:rsidR="000E2685" w:rsidRDefault="000E2685" w:rsidP="000E2685">
            <w:pPr>
              <w:spacing w:before="120"/>
            </w:pPr>
          </w:p>
        </w:tc>
        <w:tc>
          <w:tcPr>
            <w:tcW w:w="1213" w:type="dxa"/>
            <w:vAlign w:val="bottom"/>
          </w:tcPr>
          <w:p w14:paraId="2D858D00" w14:textId="77777777" w:rsidR="000E2685" w:rsidRPr="00DD7AEB" w:rsidRDefault="000E2685" w:rsidP="000E2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777F1289" w14:textId="77777777" w:rsidR="000E2685" w:rsidRPr="00DD7AEB" w:rsidRDefault="000E2685" w:rsidP="000E2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685" w14:paraId="2FFC10F8" w14:textId="77777777" w:rsidTr="000E2685">
        <w:trPr>
          <w:trHeight w:val="386"/>
        </w:trPr>
        <w:tc>
          <w:tcPr>
            <w:tcW w:w="5935" w:type="dxa"/>
            <w:vAlign w:val="bottom"/>
          </w:tcPr>
          <w:p w14:paraId="589E7C2B" w14:textId="4C2A9033" w:rsidR="000E2685" w:rsidRPr="00C43A4A" w:rsidRDefault="000E2685" w:rsidP="000E268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43A4A">
              <w:rPr>
                <w:rFonts w:ascii="Arial" w:hAnsi="Arial" w:cs="Arial"/>
                <w:sz w:val="20"/>
                <w:szCs w:val="20"/>
              </w:rPr>
              <w:t xml:space="preserve">Retirement plan contributions withheld from the employee’s pay are transmitted to </w:t>
            </w:r>
            <w:r w:rsidR="00374C9B">
              <w:rPr>
                <w:rFonts w:ascii="Arial" w:hAnsi="Arial" w:cs="Arial"/>
                <w:sz w:val="20"/>
                <w:szCs w:val="20"/>
              </w:rPr>
              <w:t>Empower</w:t>
            </w:r>
            <w:r w:rsidRPr="00C43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38F">
              <w:rPr>
                <w:rFonts w:ascii="Arial" w:hAnsi="Arial" w:cs="Arial"/>
                <w:sz w:val="20"/>
                <w:szCs w:val="20"/>
              </w:rPr>
              <w:t>(for UU</w:t>
            </w:r>
            <w:r w:rsidR="00374C9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="0088038F">
              <w:rPr>
                <w:rFonts w:ascii="Arial" w:hAnsi="Arial" w:cs="Arial"/>
                <w:sz w:val="20"/>
                <w:szCs w:val="20"/>
              </w:rPr>
              <w:t xml:space="preserve"> Retirement Plan) </w:t>
            </w:r>
            <w:r w:rsidRPr="00C43A4A">
              <w:rPr>
                <w:rFonts w:ascii="Arial" w:hAnsi="Arial" w:cs="Arial"/>
                <w:sz w:val="20"/>
                <w:szCs w:val="20"/>
              </w:rPr>
              <w:t>as soon as administratively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74" w:type="dxa"/>
            <w:vAlign w:val="bottom"/>
          </w:tcPr>
          <w:p w14:paraId="530E6DFA" w14:textId="2D9C7D0A" w:rsidR="00083E44" w:rsidRPr="00AB6468" w:rsidRDefault="00083E44" w:rsidP="00083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093E6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https://www.uua.org/leaderlab/benefits-tuneup</w:t>
              </w:r>
            </w:hyperlink>
          </w:p>
        </w:tc>
        <w:tc>
          <w:tcPr>
            <w:tcW w:w="1213" w:type="dxa"/>
            <w:vAlign w:val="bottom"/>
          </w:tcPr>
          <w:p w14:paraId="6B9DE4A3" w14:textId="77777777" w:rsidR="000E2685" w:rsidRPr="00DD7AEB" w:rsidRDefault="000E2685" w:rsidP="000E2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235932BC" w14:textId="77777777" w:rsidR="000E2685" w:rsidRPr="00DD7AEB" w:rsidRDefault="000E2685" w:rsidP="000E2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762D23" w14:textId="77777777" w:rsidR="006202B5" w:rsidRPr="006202B5" w:rsidRDefault="006202B5" w:rsidP="006202B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highlight w:val="white"/>
        </w:rPr>
      </w:pPr>
    </w:p>
    <w:sectPr w:rsidR="006202B5" w:rsidRPr="006202B5" w:rsidSect="005B278A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1979" w14:textId="77777777" w:rsidR="00D55718" w:rsidRDefault="00D55718" w:rsidP="00DD7AEB">
      <w:pPr>
        <w:spacing w:after="0" w:line="240" w:lineRule="auto"/>
      </w:pPr>
      <w:r>
        <w:separator/>
      </w:r>
    </w:p>
  </w:endnote>
  <w:endnote w:type="continuationSeparator" w:id="0">
    <w:p w14:paraId="00B49A53" w14:textId="77777777" w:rsidR="00D55718" w:rsidRDefault="00D55718" w:rsidP="00DD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FBEA" w14:textId="1A3E289A" w:rsidR="00DD7AEB" w:rsidRPr="002B3BB0" w:rsidRDefault="007E530D">
    <w:pPr>
      <w:pStyle w:val="Footer"/>
      <w:rPr>
        <w:rFonts w:ascii="Arial" w:hAnsi="Arial" w:cs="Arial"/>
        <w:color w:val="404040" w:themeColor="text1" w:themeTint="BF"/>
        <w:sz w:val="18"/>
        <w:szCs w:val="18"/>
      </w:rPr>
    </w:pPr>
    <w:r>
      <w:rPr>
        <w:rFonts w:ascii="Arial" w:hAnsi="Arial" w:cs="Arial"/>
        <w:color w:val="404040" w:themeColor="text1" w:themeTint="BF"/>
        <w:sz w:val="18"/>
        <w:szCs w:val="18"/>
      </w:rPr>
      <w:t>UUA Office of Church Staff Finances</w:t>
    </w:r>
    <w:r w:rsidRPr="007E530D">
      <w:rPr>
        <w:rFonts w:ascii="Arial" w:hAnsi="Arial" w:cs="Arial"/>
        <w:color w:val="404040" w:themeColor="text1" w:themeTint="BF"/>
        <w:sz w:val="18"/>
        <w:szCs w:val="18"/>
      </w:rPr>
      <w:ptab w:relativeTo="margin" w:alignment="center" w:leader="none"/>
    </w:r>
    <w:r w:rsidR="00B15B67">
      <w:rPr>
        <w:rFonts w:ascii="Arial" w:hAnsi="Arial" w:cs="Arial"/>
        <w:color w:val="404040" w:themeColor="text1" w:themeTint="BF"/>
        <w:sz w:val="18"/>
        <w:szCs w:val="18"/>
      </w:rPr>
      <w:t xml:space="preserve">page </w:t>
    </w:r>
    <w:r w:rsidR="00870DC2" w:rsidRPr="00870DC2">
      <w:rPr>
        <w:rFonts w:ascii="Arial" w:hAnsi="Arial" w:cs="Arial"/>
        <w:color w:val="404040" w:themeColor="text1" w:themeTint="BF"/>
        <w:sz w:val="18"/>
        <w:szCs w:val="18"/>
      </w:rPr>
      <w:fldChar w:fldCharType="begin"/>
    </w:r>
    <w:r w:rsidR="00870DC2" w:rsidRPr="00870DC2">
      <w:rPr>
        <w:rFonts w:ascii="Arial" w:hAnsi="Arial" w:cs="Arial"/>
        <w:color w:val="404040" w:themeColor="text1" w:themeTint="BF"/>
        <w:sz w:val="18"/>
        <w:szCs w:val="18"/>
      </w:rPr>
      <w:instrText xml:space="preserve"> PAGE   \* MERGEFORMAT </w:instrText>
    </w:r>
    <w:r w:rsidR="00870DC2" w:rsidRPr="00870DC2">
      <w:rPr>
        <w:rFonts w:ascii="Arial" w:hAnsi="Arial" w:cs="Arial"/>
        <w:color w:val="404040" w:themeColor="text1" w:themeTint="BF"/>
        <w:sz w:val="18"/>
        <w:szCs w:val="18"/>
      </w:rPr>
      <w:fldChar w:fldCharType="separate"/>
    </w:r>
    <w:r w:rsidR="00870DC2" w:rsidRPr="00870DC2">
      <w:rPr>
        <w:rFonts w:ascii="Arial" w:hAnsi="Arial" w:cs="Arial"/>
        <w:noProof/>
        <w:color w:val="404040" w:themeColor="text1" w:themeTint="BF"/>
        <w:sz w:val="18"/>
        <w:szCs w:val="18"/>
      </w:rPr>
      <w:t>1</w:t>
    </w:r>
    <w:r w:rsidR="00870DC2" w:rsidRPr="00870DC2">
      <w:rPr>
        <w:rFonts w:ascii="Arial" w:hAnsi="Arial" w:cs="Arial"/>
        <w:noProof/>
        <w:color w:val="404040" w:themeColor="text1" w:themeTint="BF"/>
        <w:sz w:val="18"/>
        <w:szCs w:val="18"/>
      </w:rPr>
      <w:fldChar w:fldCharType="end"/>
    </w:r>
    <w:r w:rsidR="00B15B67">
      <w:rPr>
        <w:rFonts w:ascii="Arial" w:hAnsi="Arial" w:cs="Arial"/>
        <w:noProof/>
        <w:color w:val="404040" w:themeColor="text1" w:themeTint="BF"/>
        <w:sz w:val="18"/>
        <w:szCs w:val="18"/>
      </w:rPr>
      <w:t xml:space="preserve"> of 2</w:t>
    </w:r>
    <w:r w:rsidRPr="007E530D">
      <w:rPr>
        <w:rFonts w:ascii="Arial" w:hAnsi="Arial" w:cs="Arial"/>
        <w:color w:val="404040" w:themeColor="text1" w:themeTint="BF"/>
        <w:sz w:val="18"/>
        <w:szCs w:val="18"/>
      </w:rPr>
      <w:ptab w:relativeTo="margin" w:alignment="right" w:leader="none"/>
    </w:r>
    <w:r w:rsidR="009E498A">
      <w:rPr>
        <w:rFonts w:ascii="Arial" w:hAnsi="Arial" w:cs="Arial"/>
        <w:color w:val="404040" w:themeColor="text1" w:themeTint="BF"/>
        <w:sz w:val="18"/>
        <w:szCs w:val="18"/>
      </w:rPr>
      <w:t>September</w:t>
    </w:r>
    <w:r>
      <w:rPr>
        <w:rFonts w:ascii="Arial" w:hAnsi="Arial" w:cs="Arial"/>
        <w:color w:val="404040" w:themeColor="text1" w:themeTint="BF"/>
        <w:sz w:val="18"/>
        <w:szCs w:val="18"/>
      </w:rPr>
      <w:t xml:space="preserve"> 202</w:t>
    </w:r>
    <w:r w:rsidR="009E498A">
      <w:rPr>
        <w:rFonts w:ascii="Arial" w:hAnsi="Arial" w:cs="Arial"/>
        <w:color w:val="404040" w:themeColor="text1" w:themeTint="BF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3A7B" w14:textId="77777777" w:rsidR="00D55718" w:rsidRDefault="00D55718" w:rsidP="00DD7AEB">
      <w:pPr>
        <w:spacing w:after="0" w:line="240" w:lineRule="auto"/>
      </w:pPr>
      <w:r>
        <w:separator/>
      </w:r>
    </w:p>
  </w:footnote>
  <w:footnote w:type="continuationSeparator" w:id="0">
    <w:p w14:paraId="55167B45" w14:textId="77777777" w:rsidR="00D55718" w:rsidRDefault="00D55718" w:rsidP="00DD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53D5" w14:textId="23928B65" w:rsidR="008E6C94" w:rsidRPr="00D07742" w:rsidRDefault="008E6C94" w:rsidP="008E6C94">
    <w:pPr>
      <w:pStyle w:val="Header"/>
      <w:jc w:val="right"/>
      <w:rPr>
        <w:rFonts w:ascii="Arial" w:hAnsi="Arial" w:cs="Arial"/>
        <w:color w:val="404040" w:themeColor="text1" w:themeTint="BF"/>
        <w:sz w:val="26"/>
        <w:szCs w:val="26"/>
      </w:rPr>
    </w:pPr>
    <w:r w:rsidRPr="00D07742">
      <w:rPr>
        <w:rFonts w:ascii="Arial" w:hAnsi="Arial" w:cs="Arial"/>
        <w:color w:val="404040" w:themeColor="text1" w:themeTint="BF"/>
        <w:sz w:val="26"/>
        <w:szCs w:val="26"/>
      </w:rPr>
      <w:t>UUA Compensation Standards</w:t>
    </w:r>
    <w:r w:rsidR="00D07742" w:rsidRPr="00D07742">
      <w:rPr>
        <w:rFonts w:ascii="Arial" w:hAnsi="Arial" w:cs="Arial"/>
        <w:color w:val="404040" w:themeColor="text1" w:themeTint="BF"/>
        <w:sz w:val="26"/>
        <w:szCs w:val="26"/>
      </w:rPr>
      <w:t>: Pay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531"/>
    <w:multiLevelType w:val="hybridMultilevel"/>
    <w:tmpl w:val="5B2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691"/>
    <w:multiLevelType w:val="multilevel"/>
    <w:tmpl w:val="1F3E0E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5F2E65"/>
    <w:multiLevelType w:val="multilevel"/>
    <w:tmpl w:val="1122924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90881"/>
    <w:multiLevelType w:val="hybridMultilevel"/>
    <w:tmpl w:val="BEF6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50C7"/>
    <w:multiLevelType w:val="hybridMultilevel"/>
    <w:tmpl w:val="2CDE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828"/>
    <w:multiLevelType w:val="multilevel"/>
    <w:tmpl w:val="B6C663C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5146AC"/>
    <w:multiLevelType w:val="hybridMultilevel"/>
    <w:tmpl w:val="34843BF4"/>
    <w:lvl w:ilvl="0" w:tplc="C846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06602">
    <w:abstractNumId w:val="5"/>
  </w:num>
  <w:num w:numId="2" w16cid:durableId="1934236727">
    <w:abstractNumId w:val="1"/>
  </w:num>
  <w:num w:numId="3" w16cid:durableId="2055151440">
    <w:abstractNumId w:val="2"/>
  </w:num>
  <w:num w:numId="4" w16cid:durableId="1025449321">
    <w:abstractNumId w:val="6"/>
  </w:num>
  <w:num w:numId="5" w16cid:durableId="899092849">
    <w:abstractNumId w:val="0"/>
  </w:num>
  <w:num w:numId="6" w16cid:durableId="747775233">
    <w:abstractNumId w:val="4"/>
  </w:num>
  <w:num w:numId="7" w16cid:durableId="1535389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D8"/>
    <w:rsid w:val="00012FBF"/>
    <w:rsid w:val="00033881"/>
    <w:rsid w:val="00040059"/>
    <w:rsid w:val="000506C2"/>
    <w:rsid w:val="00083E44"/>
    <w:rsid w:val="0008496F"/>
    <w:rsid w:val="000A4019"/>
    <w:rsid w:val="000C6321"/>
    <w:rsid w:val="000E2685"/>
    <w:rsid w:val="00134FB6"/>
    <w:rsid w:val="00135887"/>
    <w:rsid w:val="001471D4"/>
    <w:rsid w:val="001641E1"/>
    <w:rsid w:val="001936C7"/>
    <w:rsid w:val="001A2D77"/>
    <w:rsid w:val="001C4E43"/>
    <w:rsid w:val="001D5695"/>
    <w:rsid w:val="001E286D"/>
    <w:rsid w:val="001E7755"/>
    <w:rsid w:val="002066D4"/>
    <w:rsid w:val="00213FA0"/>
    <w:rsid w:val="00215B35"/>
    <w:rsid w:val="00232742"/>
    <w:rsid w:val="00243219"/>
    <w:rsid w:val="00262F0A"/>
    <w:rsid w:val="00283345"/>
    <w:rsid w:val="00292481"/>
    <w:rsid w:val="00292CBD"/>
    <w:rsid w:val="002B3BB0"/>
    <w:rsid w:val="002B5BA3"/>
    <w:rsid w:val="002C515A"/>
    <w:rsid w:val="002F1EC4"/>
    <w:rsid w:val="003032DF"/>
    <w:rsid w:val="00312D8B"/>
    <w:rsid w:val="00324079"/>
    <w:rsid w:val="003307A1"/>
    <w:rsid w:val="003509DC"/>
    <w:rsid w:val="0035203D"/>
    <w:rsid w:val="003656CA"/>
    <w:rsid w:val="00373B40"/>
    <w:rsid w:val="00374C9B"/>
    <w:rsid w:val="003866A6"/>
    <w:rsid w:val="003C1E23"/>
    <w:rsid w:val="003F35F3"/>
    <w:rsid w:val="00403B66"/>
    <w:rsid w:val="00406FF8"/>
    <w:rsid w:val="00424212"/>
    <w:rsid w:val="00464DAB"/>
    <w:rsid w:val="004720F0"/>
    <w:rsid w:val="004A45AC"/>
    <w:rsid w:val="00504B45"/>
    <w:rsid w:val="00515AC9"/>
    <w:rsid w:val="0052434A"/>
    <w:rsid w:val="00546E6E"/>
    <w:rsid w:val="005541E1"/>
    <w:rsid w:val="005560D5"/>
    <w:rsid w:val="005612D3"/>
    <w:rsid w:val="005728A7"/>
    <w:rsid w:val="005803C6"/>
    <w:rsid w:val="00587D2B"/>
    <w:rsid w:val="00593B26"/>
    <w:rsid w:val="005B278A"/>
    <w:rsid w:val="005C52AA"/>
    <w:rsid w:val="005F547E"/>
    <w:rsid w:val="0060266C"/>
    <w:rsid w:val="00607E98"/>
    <w:rsid w:val="00607FED"/>
    <w:rsid w:val="00611BC4"/>
    <w:rsid w:val="006202B5"/>
    <w:rsid w:val="0066252C"/>
    <w:rsid w:val="00697E75"/>
    <w:rsid w:val="006B269B"/>
    <w:rsid w:val="006D55A3"/>
    <w:rsid w:val="0073306B"/>
    <w:rsid w:val="00753B8B"/>
    <w:rsid w:val="00765852"/>
    <w:rsid w:val="00775633"/>
    <w:rsid w:val="007861D4"/>
    <w:rsid w:val="007A0412"/>
    <w:rsid w:val="007B32FA"/>
    <w:rsid w:val="007C1880"/>
    <w:rsid w:val="007E51E1"/>
    <w:rsid w:val="007E530D"/>
    <w:rsid w:val="00835754"/>
    <w:rsid w:val="0086209D"/>
    <w:rsid w:val="00862E2F"/>
    <w:rsid w:val="00870DC2"/>
    <w:rsid w:val="0088038F"/>
    <w:rsid w:val="008B188A"/>
    <w:rsid w:val="008C2A2B"/>
    <w:rsid w:val="008E4180"/>
    <w:rsid w:val="008E6C94"/>
    <w:rsid w:val="008F07E7"/>
    <w:rsid w:val="009171BE"/>
    <w:rsid w:val="00960B48"/>
    <w:rsid w:val="0098493C"/>
    <w:rsid w:val="009A4F22"/>
    <w:rsid w:val="009B0F41"/>
    <w:rsid w:val="009B6562"/>
    <w:rsid w:val="009C6B02"/>
    <w:rsid w:val="009D3997"/>
    <w:rsid w:val="009E1AD6"/>
    <w:rsid w:val="009E498A"/>
    <w:rsid w:val="009F7688"/>
    <w:rsid w:val="00A02B8B"/>
    <w:rsid w:val="00A22518"/>
    <w:rsid w:val="00A315AA"/>
    <w:rsid w:val="00A5017C"/>
    <w:rsid w:val="00A70095"/>
    <w:rsid w:val="00A81762"/>
    <w:rsid w:val="00A866A1"/>
    <w:rsid w:val="00AB0CD4"/>
    <w:rsid w:val="00AB1D65"/>
    <w:rsid w:val="00AB6468"/>
    <w:rsid w:val="00AB702B"/>
    <w:rsid w:val="00B12293"/>
    <w:rsid w:val="00B15B67"/>
    <w:rsid w:val="00B20546"/>
    <w:rsid w:val="00B22193"/>
    <w:rsid w:val="00B23CB6"/>
    <w:rsid w:val="00B672D8"/>
    <w:rsid w:val="00B91C02"/>
    <w:rsid w:val="00B955E8"/>
    <w:rsid w:val="00BB3E3E"/>
    <w:rsid w:val="00BB7BFE"/>
    <w:rsid w:val="00BD32C2"/>
    <w:rsid w:val="00BE2356"/>
    <w:rsid w:val="00BF7A99"/>
    <w:rsid w:val="00C06F02"/>
    <w:rsid w:val="00C114F0"/>
    <w:rsid w:val="00C1757D"/>
    <w:rsid w:val="00C22E43"/>
    <w:rsid w:val="00C36350"/>
    <w:rsid w:val="00C4137C"/>
    <w:rsid w:val="00C62FDA"/>
    <w:rsid w:val="00C719E5"/>
    <w:rsid w:val="00C950F0"/>
    <w:rsid w:val="00CA2B40"/>
    <w:rsid w:val="00CD3782"/>
    <w:rsid w:val="00CE26EC"/>
    <w:rsid w:val="00CF3011"/>
    <w:rsid w:val="00CF4751"/>
    <w:rsid w:val="00D032A3"/>
    <w:rsid w:val="00D07742"/>
    <w:rsid w:val="00D3183D"/>
    <w:rsid w:val="00D343E6"/>
    <w:rsid w:val="00D55718"/>
    <w:rsid w:val="00D6158D"/>
    <w:rsid w:val="00DD7AEB"/>
    <w:rsid w:val="00DE345F"/>
    <w:rsid w:val="00E016E0"/>
    <w:rsid w:val="00E36EA9"/>
    <w:rsid w:val="00E430B5"/>
    <w:rsid w:val="00E4429A"/>
    <w:rsid w:val="00E5255C"/>
    <w:rsid w:val="00E71299"/>
    <w:rsid w:val="00EE491C"/>
    <w:rsid w:val="00EF6C1D"/>
    <w:rsid w:val="00F22C09"/>
    <w:rsid w:val="00F82156"/>
    <w:rsid w:val="00F8400B"/>
    <w:rsid w:val="00FB3B6B"/>
    <w:rsid w:val="00FC3CF2"/>
    <w:rsid w:val="00FC582C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35A0C"/>
  <w15:chartTrackingRefBased/>
  <w15:docId w15:val="{E618BF2D-FB25-43ED-9DE1-176D9869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E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55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EB"/>
  </w:style>
  <w:style w:type="paragraph" w:styleId="Footer">
    <w:name w:val="footer"/>
    <w:basedOn w:val="Normal"/>
    <w:link w:val="FooterChar"/>
    <w:uiPriority w:val="99"/>
    <w:unhideWhenUsed/>
    <w:rsid w:val="00DD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ua.org/leadership/library/fair-labor" TargetMode="External"/><Relationship Id="rId18" Type="http://schemas.openxmlformats.org/officeDocument/2006/relationships/hyperlink" Target="https://www.uua.org/sites/live-new.uua.org/files/clergy_tax_status_0815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uua.org/leaderlab/benefits-tuneu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ua.org/leadership/library/fair-labor" TargetMode="External"/><Relationship Id="rId17" Type="http://schemas.openxmlformats.org/officeDocument/2006/relationships/hyperlink" Target="https://www.uua.org/leadership/library/ministerial-compens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l.gov/whd/state/payday.htm" TargetMode="External"/><Relationship Id="rId20" Type="http://schemas.openxmlformats.org/officeDocument/2006/relationships/hyperlink" Target="https://www.uua.org/leadership/library/ministerial-compens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ua.org/leadership/library/fair-labo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uua.org/leadership/library/fair-labo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ua.org/leadership/library/employee-or-contractor" TargetMode="External"/><Relationship Id="rId19" Type="http://schemas.openxmlformats.org/officeDocument/2006/relationships/hyperlink" Target="https://www.uua.org/leadership/library/housing-allowanc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dol.gov/whd/forstatelocalgovernments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AD5648C0C5429844C27C8C14E72E" ma:contentTypeVersion="17" ma:contentTypeDescription="Create a new document." ma:contentTypeScope="" ma:versionID="d977af1a2ff79642bd82efe0128a15ae">
  <xsd:schema xmlns:xsd="http://www.w3.org/2001/XMLSchema" xmlns:xs="http://www.w3.org/2001/XMLSchema" xmlns:p="http://schemas.microsoft.com/office/2006/metadata/properties" xmlns:ns2="71c62093-1be2-403a-a5d4-4b91efcf85ca" xmlns:ns3="23962dc9-a784-4edb-91f6-b1b42df63a86" targetNamespace="http://schemas.microsoft.com/office/2006/metadata/properties" ma:root="true" ma:fieldsID="947e9f3567b0b56dd4b0718aff1b0da1" ns2:_="" ns3:_="">
    <xsd:import namespace="71c62093-1be2-403a-a5d4-4b91efcf85ca"/>
    <xsd:import namespace="23962dc9-a784-4edb-91f6-b1b42df63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2093-1be2-403a-a5d4-4b91efcf8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701551-d0f5-45b6-bf04-2f863caa53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2dc9-a784-4edb-91f6-b1b42df63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6cb4dd-4aaf-4faf-9669-77558e23adc9}" ma:internalName="TaxCatchAll" ma:showField="CatchAllData" ma:web="23962dc9-a784-4edb-91f6-b1b42df63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CF728-C82F-4E62-81C5-ED5C5A5D4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D0A53-D907-4620-A111-47BEC500D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2093-1be2-403a-a5d4-4b91efcf85ca"/>
    <ds:schemaRef ds:uri="23962dc9-a784-4edb-91f6-b1b42df63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Gartner</dc:creator>
  <cp:keywords/>
  <dc:description/>
  <cp:lastModifiedBy>Sean Griffin</cp:lastModifiedBy>
  <cp:revision>8</cp:revision>
  <dcterms:created xsi:type="dcterms:W3CDTF">2020-01-31T04:33:00Z</dcterms:created>
  <dcterms:modified xsi:type="dcterms:W3CDTF">2023-09-28T13:46:00Z</dcterms:modified>
</cp:coreProperties>
</file>